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D32" w:rsidRPr="00115D32" w:rsidRDefault="00115D32" w:rsidP="00115D32">
      <w:pPr>
        <w:shd w:val="clear" w:color="auto" w:fill="FFFFFF"/>
        <w:spacing w:after="150" w:line="240" w:lineRule="auto"/>
        <w:outlineLvl w:val="0"/>
        <w:rPr>
          <w:rFonts w:ascii="Georgia" w:eastAsia="Times New Roman" w:hAnsi="Georgia" w:cs="Times New Roman"/>
          <w:b/>
          <w:bCs/>
          <w:color w:val="000000"/>
          <w:kern w:val="36"/>
          <w:sz w:val="40"/>
          <w:szCs w:val="40"/>
        </w:rPr>
      </w:pPr>
      <w:r w:rsidRPr="00115D32">
        <w:rPr>
          <w:rFonts w:ascii="Georgia" w:eastAsia="Times New Roman" w:hAnsi="Georgia" w:cs="Times New Roman"/>
          <w:b/>
          <w:bCs/>
          <w:color w:val="000000"/>
          <w:kern w:val="36"/>
          <w:sz w:val="40"/>
          <w:szCs w:val="40"/>
        </w:rPr>
        <w:t>The Wrong Way to Teach Grammar</w:t>
      </w:r>
    </w:p>
    <w:p w:rsidR="00115D32" w:rsidRPr="00115D32" w:rsidRDefault="00115D32" w:rsidP="00115D32">
      <w:pPr>
        <w:shd w:val="clear" w:color="auto" w:fill="FFFFFF"/>
        <w:spacing w:after="150" w:line="240" w:lineRule="auto"/>
        <w:rPr>
          <w:rFonts w:ascii="Helvetica" w:eastAsia="Times New Roman" w:hAnsi="Helvetica" w:cs="Times New Roman"/>
          <w:color w:val="000000"/>
        </w:rPr>
      </w:pPr>
      <w:r w:rsidRPr="00115D32">
        <w:rPr>
          <w:rFonts w:ascii="Georgia" w:eastAsia="Times New Roman" w:hAnsi="Georgia" w:cs="Times New Roman"/>
          <w:noProof/>
          <w:color w:val="000000"/>
          <w:sz w:val="27"/>
          <w:szCs w:val="27"/>
        </w:rPr>
        <w:drawing>
          <wp:anchor distT="0" distB="0" distL="114300" distR="114300" simplePos="0" relativeHeight="251658240" behindDoc="0" locked="0" layoutInCell="1" allowOverlap="1" wp14:anchorId="4CA976B0" wp14:editId="1C3B11A3">
            <wp:simplePos x="0" y="0"/>
            <wp:positionH relativeFrom="margin">
              <wp:align>left</wp:align>
            </wp:positionH>
            <wp:positionV relativeFrom="paragraph">
              <wp:posOffset>258445</wp:posOffset>
            </wp:positionV>
            <wp:extent cx="4370070" cy="3602355"/>
            <wp:effectExtent l="0" t="0" r="0" b="0"/>
            <wp:wrapThrough wrapText="bothSides">
              <wp:wrapPolygon edited="0">
                <wp:start x="0" y="0"/>
                <wp:lineTo x="0" y="21474"/>
                <wp:lineTo x="21468" y="21474"/>
                <wp:lineTo x="21468" y="0"/>
                <wp:lineTo x="0" y="0"/>
              </wp:wrapPolygon>
            </wp:wrapThrough>
            <wp:docPr id="1" name="Picture 1" descr="https://cdn.theatlantic.com/assets/media/img/mt/2014/02/6197682597_741e205c42_b/lead_large.jpg?1430159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theatlantic.com/assets/media/img/mt/2014/02/6197682597_741e205c42_b/lead_large.jpg?14301591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70070" cy="3602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5D32">
        <w:rPr>
          <w:rFonts w:ascii="Helvetica" w:eastAsia="Times New Roman" w:hAnsi="Helvetica" w:cs="Times New Roman"/>
          <w:color w:val="000000"/>
        </w:rPr>
        <w:t>No more diagramming sentences: Students learn more from simply writing and reading.</w:t>
      </w:r>
    </w:p>
    <w:p w:rsidR="00115D32" w:rsidRPr="00115D32" w:rsidRDefault="00115D32" w:rsidP="00115D32">
      <w:pPr>
        <w:shd w:val="clear" w:color="auto" w:fill="FFFFFF"/>
        <w:spacing w:after="0" w:line="240" w:lineRule="auto"/>
        <w:rPr>
          <w:rFonts w:ascii="Georgia" w:eastAsia="Times New Roman" w:hAnsi="Georgia" w:cs="Times New Roman"/>
          <w:color w:val="000000"/>
          <w:sz w:val="27"/>
          <w:szCs w:val="27"/>
        </w:rPr>
      </w:pPr>
    </w:p>
    <w:p w:rsidR="00115D32" w:rsidRDefault="00115D32" w:rsidP="00115D32">
      <w:pPr>
        <w:shd w:val="clear" w:color="auto" w:fill="FFFFFF"/>
        <w:spacing w:after="0" w:line="240" w:lineRule="auto"/>
        <w:rPr>
          <w:rFonts w:ascii="Georgia" w:eastAsia="Times New Roman" w:hAnsi="Georgia" w:cs="Times New Roman"/>
          <w:color w:val="000000"/>
          <w:sz w:val="16"/>
          <w:szCs w:val="16"/>
        </w:rPr>
      </w:pPr>
    </w:p>
    <w:p w:rsidR="00115D32" w:rsidRDefault="00115D32" w:rsidP="00115D32">
      <w:pPr>
        <w:shd w:val="clear" w:color="auto" w:fill="FFFFFF"/>
        <w:spacing w:after="0" w:line="240" w:lineRule="auto"/>
        <w:rPr>
          <w:rFonts w:ascii="Helvetica" w:eastAsia="Times New Roman" w:hAnsi="Helvetica" w:cs="Times New Roman"/>
          <w:b/>
          <w:bCs/>
          <w:caps/>
          <w:color w:val="000000"/>
          <w:spacing w:val="12"/>
          <w:sz w:val="18"/>
          <w:szCs w:val="18"/>
        </w:rPr>
      </w:pPr>
      <w:r>
        <w:rPr>
          <w:rFonts w:ascii="Georgia" w:eastAsia="Times New Roman" w:hAnsi="Georgia" w:cs="Times New Roman"/>
          <w:color w:val="000000"/>
          <w:sz w:val="16"/>
          <w:szCs w:val="16"/>
        </w:rPr>
        <w:t xml:space="preserve">By </w:t>
      </w:r>
      <w:hyperlink r:id="rId6" w:tooltip="Michelle Navarre Cleary" w:history="1">
        <w:r w:rsidRPr="00115D32">
          <w:rPr>
            <w:rFonts w:ascii="Helvetica" w:eastAsia="Times New Roman" w:hAnsi="Helvetica" w:cs="Times New Roman"/>
            <w:b/>
            <w:bCs/>
            <w:caps/>
            <w:spacing w:val="12"/>
            <w:sz w:val="18"/>
            <w:szCs w:val="18"/>
          </w:rPr>
          <w:t>MICHELLE NAVARRE CLEARY</w:t>
        </w:r>
      </w:hyperlink>
      <w:r w:rsidRPr="00115D32">
        <w:rPr>
          <w:rFonts w:ascii="Helvetica" w:eastAsia="Times New Roman" w:hAnsi="Helvetica" w:cs="Times New Roman"/>
          <w:b/>
          <w:bCs/>
          <w:caps/>
          <w:color w:val="000000"/>
          <w:spacing w:val="12"/>
          <w:sz w:val="18"/>
          <w:szCs w:val="18"/>
        </w:rPr>
        <w:t xml:space="preserve">, </w:t>
      </w:r>
      <w:r w:rsidRPr="00115D32">
        <w:rPr>
          <w:rFonts w:ascii="Helvetica" w:eastAsia="Times New Roman" w:hAnsi="Helvetica" w:cs="Times New Roman"/>
          <w:b/>
          <w:bCs/>
          <w:i/>
          <w:caps/>
          <w:color w:val="000000"/>
          <w:spacing w:val="12"/>
          <w:sz w:val="18"/>
          <w:szCs w:val="18"/>
        </w:rPr>
        <w:t>The Atlantic</w:t>
      </w:r>
      <w:r w:rsidRPr="00115D32">
        <w:rPr>
          <w:rFonts w:ascii="Helvetica" w:eastAsia="Times New Roman" w:hAnsi="Helvetica" w:cs="Times New Roman"/>
          <w:b/>
          <w:bCs/>
          <w:caps/>
          <w:color w:val="000000"/>
          <w:spacing w:val="12"/>
          <w:sz w:val="18"/>
          <w:szCs w:val="18"/>
        </w:rPr>
        <w:t xml:space="preserve">, FEB 25, </w:t>
      </w:r>
      <w:bookmarkStart w:id="0" w:name="_GoBack"/>
      <w:bookmarkEnd w:id="0"/>
      <w:r w:rsidRPr="00115D32">
        <w:rPr>
          <w:rFonts w:ascii="Helvetica" w:eastAsia="Times New Roman" w:hAnsi="Helvetica" w:cs="Times New Roman"/>
          <w:b/>
          <w:bCs/>
          <w:caps/>
          <w:color w:val="000000"/>
          <w:spacing w:val="12"/>
          <w:sz w:val="18"/>
          <w:szCs w:val="18"/>
        </w:rPr>
        <w:t>2014</w:t>
      </w:r>
    </w:p>
    <w:p w:rsidR="00115D32" w:rsidRPr="00115D32" w:rsidRDefault="00115D32" w:rsidP="00115D32">
      <w:pPr>
        <w:shd w:val="clear" w:color="auto" w:fill="FFFFFF"/>
        <w:spacing w:after="0" w:line="240" w:lineRule="auto"/>
        <w:rPr>
          <w:rFonts w:ascii="Georgia" w:eastAsia="Times New Roman" w:hAnsi="Georgia" w:cs="Times New Roman"/>
          <w:color w:val="000000"/>
          <w:sz w:val="16"/>
          <w:szCs w:val="16"/>
        </w:rPr>
      </w:pPr>
    </w:p>
    <w:p w:rsidR="00115D32" w:rsidRDefault="00115D32" w:rsidP="00115D32">
      <w:pPr>
        <w:shd w:val="clear" w:color="auto" w:fill="FFFFFF"/>
        <w:spacing w:after="0" w:line="240" w:lineRule="auto"/>
        <w:rPr>
          <w:rFonts w:ascii="Georgia" w:eastAsia="Times New Roman" w:hAnsi="Georgia" w:cs="Times New Roman"/>
        </w:rPr>
      </w:pPr>
      <w:r w:rsidRPr="00115D32">
        <w:rPr>
          <w:rFonts w:ascii="Helvetica" w:eastAsia="Times New Roman" w:hAnsi="Helvetica" w:cs="Times New Roman"/>
          <w:b/>
          <w:bCs/>
          <w:caps/>
          <w:color w:val="000000"/>
          <w:spacing w:val="12"/>
        </w:rPr>
        <w:t> </w:t>
      </w:r>
      <w:hyperlink r:id="rId7" w:history="1">
        <w:r w:rsidRPr="00115D32">
          <w:rPr>
            <w:rFonts w:ascii="Georgia" w:eastAsia="Times New Roman" w:hAnsi="Georgia" w:cs="Times New Roman"/>
          </w:rPr>
          <w:t>A century of research</w:t>
        </w:r>
      </w:hyperlink>
      <w:r w:rsidRPr="00115D32">
        <w:rPr>
          <w:rFonts w:ascii="Georgia" w:eastAsia="Times New Roman" w:hAnsi="Georgia" w:cs="Times New Roman"/>
        </w:rPr>
        <w:t> shows that traditional grammar lessons—those hours spent diagramming sentences and memorizing parts of speech—don’t help and may even hinder students’ efforts to become better writers. Yes, they need to learn grammar, but the old-fashioned way does not work.</w:t>
      </w:r>
      <w:r>
        <w:rPr>
          <w:rFonts w:ascii="Georgia" w:eastAsia="Times New Roman" w:hAnsi="Georgia" w:cs="Times New Roman"/>
        </w:rPr>
        <w:t xml:space="preserve"> </w:t>
      </w:r>
    </w:p>
    <w:p w:rsidR="00115D32" w:rsidRDefault="00115D32" w:rsidP="00115D32">
      <w:pPr>
        <w:shd w:val="clear" w:color="auto" w:fill="FFFFFF"/>
        <w:spacing w:after="0" w:line="240" w:lineRule="auto"/>
        <w:rPr>
          <w:rFonts w:ascii="Georgia" w:eastAsia="Times New Roman" w:hAnsi="Georgia" w:cs="Times New Roman"/>
        </w:rPr>
      </w:pPr>
    </w:p>
    <w:p w:rsidR="00115D32" w:rsidRDefault="00115D32" w:rsidP="00115D32">
      <w:pPr>
        <w:shd w:val="clear" w:color="auto" w:fill="FFFFFF"/>
        <w:spacing w:after="0" w:line="240" w:lineRule="auto"/>
        <w:rPr>
          <w:rFonts w:ascii="Georgia" w:eastAsia="Times New Roman" w:hAnsi="Georgia" w:cs="Times New Roman"/>
        </w:rPr>
      </w:pPr>
    </w:p>
    <w:p w:rsidR="00115D32" w:rsidRDefault="00115D32" w:rsidP="00115D32">
      <w:pPr>
        <w:shd w:val="clear" w:color="auto" w:fill="FFFFFF"/>
        <w:spacing w:after="0" w:line="240" w:lineRule="auto"/>
        <w:rPr>
          <w:rFonts w:ascii="Georgia" w:eastAsia="Times New Roman" w:hAnsi="Georgia" w:cs="Times New Roman"/>
          <w:color w:val="000000"/>
          <w:sz w:val="16"/>
          <w:szCs w:val="16"/>
        </w:rPr>
      </w:pPr>
      <w:r w:rsidRPr="00115D32">
        <w:rPr>
          <w:rFonts w:ascii="Helvetica" w:eastAsia="Times New Roman" w:hAnsi="Helvetica" w:cs="Times New Roman"/>
          <w:color w:val="999999"/>
          <w:sz w:val="16"/>
          <w:szCs w:val="16"/>
        </w:rPr>
        <w:t>Boston Public Library/Wikimedia Commons</w:t>
      </w:r>
    </w:p>
    <w:p w:rsidR="00115D32" w:rsidRPr="00115D32" w:rsidRDefault="00115D32" w:rsidP="00115D32">
      <w:pPr>
        <w:shd w:val="clear" w:color="auto" w:fill="FFFFFF"/>
        <w:spacing w:before="100" w:beforeAutospacing="1" w:after="100" w:afterAutospacing="1" w:line="240" w:lineRule="auto"/>
        <w:rPr>
          <w:rFonts w:ascii="Georgia" w:eastAsia="Times New Roman" w:hAnsi="Georgia" w:cs="Times New Roman"/>
        </w:rPr>
      </w:pPr>
      <w:r w:rsidRPr="00115D32">
        <w:rPr>
          <w:rFonts w:ascii="Georgia" w:eastAsia="Times New Roman" w:hAnsi="Georgia" w:cs="Times New Roman"/>
        </w:rPr>
        <w:t>This finding—confirmed in </w:t>
      </w:r>
      <w:hyperlink r:id="rId8" w:history="1">
        <w:r w:rsidRPr="00115D32">
          <w:rPr>
            <w:rFonts w:ascii="Georgia" w:eastAsia="Times New Roman" w:hAnsi="Georgia" w:cs="Times New Roman"/>
          </w:rPr>
          <w:t>1984</w:t>
        </w:r>
      </w:hyperlink>
      <w:r w:rsidRPr="00115D32">
        <w:rPr>
          <w:rFonts w:ascii="Georgia" w:eastAsia="Times New Roman" w:hAnsi="Georgia" w:cs="Times New Roman"/>
        </w:rPr>
        <w:t>, </w:t>
      </w:r>
      <w:hyperlink r:id="rId9" w:history="1">
        <w:r w:rsidRPr="00115D32">
          <w:rPr>
            <w:rFonts w:ascii="Georgia" w:eastAsia="Times New Roman" w:hAnsi="Georgia" w:cs="Times New Roman"/>
          </w:rPr>
          <w:t>2007</w:t>
        </w:r>
      </w:hyperlink>
      <w:r w:rsidRPr="00115D32">
        <w:rPr>
          <w:rFonts w:ascii="Georgia" w:eastAsia="Times New Roman" w:hAnsi="Georgia" w:cs="Times New Roman"/>
        </w:rPr>
        <w:t>, and </w:t>
      </w:r>
      <w:hyperlink r:id="rId10" w:history="1">
        <w:r w:rsidRPr="00115D32">
          <w:rPr>
            <w:rFonts w:ascii="Georgia" w:eastAsia="Times New Roman" w:hAnsi="Georgia" w:cs="Times New Roman"/>
          </w:rPr>
          <w:t>2012</w:t>
        </w:r>
      </w:hyperlink>
      <w:r w:rsidRPr="00115D32">
        <w:rPr>
          <w:rFonts w:ascii="Georgia" w:eastAsia="Times New Roman" w:hAnsi="Georgia" w:cs="Times New Roman"/>
        </w:rPr>
        <w:t> through reviews of over 250 studies—is consistent among students of all ages, from elementary school through college. For example, one well-regarded </w:t>
      </w:r>
      <w:hyperlink r:id="rId11" w:history="1">
        <w:r w:rsidRPr="00115D32">
          <w:rPr>
            <w:rFonts w:ascii="Georgia" w:eastAsia="Times New Roman" w:hAnsi="Georgia" w:cs="Times New Roman"/>
          </w:rPr>
          <w:t>study</w:t>
        </w:r>
      </w:hyperlink>
      <w:r w:rsidRPr="00115D32">
        <w:rPr>
          <w:rFonts w:ascii="Georgia" w:eastAsia="Times New Roman" w:hAnsi="Georgia" w:cs="Times New Roman"/>
        </w:rPr>
        <w:t> followed three groups of students from 9th to 11th grade where one group had traditional rule-bound lessons, a second received an alternative approach to grammar instruction, and a third received no grammar lessons at all, just more literature and creative writing. The result: No significant differences among the three groups—except that both grammar groups emerged with a strong antipathy to English. </w:t>
      </w:r>
    </w:p>
    <w:p w:rsidR="00115D32" w:rsidRPr="00115D32" w:rsidRDefault="00115D32" w:rsidP="00115D32">
      <w:pPr>
        <w:shd w:val="clear" w:color="auto" w:fill="FFFFFF"/>
        <w:spacing w:before="100" w:beforeAutospacing="1" w:after="100" w:afterAutospacing="1" w:line="240" w:lineRule="auto"/>
        <w:rPr>
          <w:rFonts w:ascii="Georgia" w:eastAsia="Times New Roman" w:hAnsi="Georgia" w:cs="Times New Roman"/>
        </w:rPr>
      </w:pPr>
      <w:r w:rsidRPr="00115D32">
        <w:rPr>
          <w:rFonts w:ascii="Georgia" w:eastAsia="Times New Roman" w:hAnsi="Georgia" w:cs="Times New Roman"/>
        </w:rPr>
        <w:t>There is a real cost to ignoring such findings. In my work with adults who dropped out of school before earning a college degree, I have found over and over again that they over-edit themselves from the moment they sit down to write. They report thoughts like “Is this right? Is that right?” and “Oh my god, if I write a contraction, I’m going to flunk.” Focused on being correct, they never give themselves a chance to explore their ideas or ways of expressing those ideas. Significantly, this sometimes-debilitating focus on “the rules” can be found in students who attended elite private institutions as well as those from resource-strapped public schools.</w:t>
      </w:r>
    </w:p>
    <w:p w:rsidR="00115D32" w:rsidRPr="00115D32" w:rsidRDefault="00115D32" w:rsidP="00115D32">
      <w:pPr>
        <w:shd w:val="clear" w:color="auto" w:fill="FFFFFF"/>
        <w:spacing w:after="0" w:line="240" w:lineRule="auto"/>
        <w:rPr>
          <w:rFonts w:ascii="Georgia" w:eastAsia="Times New Roman" w:hAnsi="Georgia" w:cs="Times New Roman"/>
        </w:rPr>
      </w:pPr>
      <w:r w:rsidRPr="00115D32">
        <w:rPr>
          <w:rFonts w:ascii="Georgia" w:eastAsia="Times New Roman" w:hAnsi="Georgia" w:cs="Times New Roman"/>
        </w:rPr>
        <w:t>We need to teach students how to write grammatically by letting them write.</w:t>
      </w:r>
    </w:p>
    <w:p w:rsidR="00115D32" w:rsidRPr="00115D32" w:rsidRDefault="00115D32" w:rsidP="00115D32">
      <w:pPr>
        <w:shd w:val="clear" w:color="auto" w:fill="FFFFFF"/>
        <w:spacing w:before="100" w:beforeAutospacing="1" w:after="100" w:afterAutospacing="1" w:line="240" w:lineRule="auto"/>
        <w:rPr>
          <w:rFonts w:ascii="Georgia" w:eastAsia="Times New Roman" w:hAnsi="Georgia" w:cs="Times New Roman"/>
        </w:rPr>
      </w:pPr>
      <w:r w:rsidRPr="00115D32">
        <w:rPr>
          <w:rFonts w:ascii="Georgia" w:eastAsia="Times New Roman" w:hAnsi="Georgia" w:cs="Times New Roman"/>
        </w:rPr>
        <w:t>These students are victims of the mistaken belief that grammar lessons must come before writing, rather than grammar being something that is best learned </w:t>
      </w:r>
      <w:r w:rsidRPr="00115D32">
        <w:rPr>
          <w:rFonts w:ascii="Georgia" w:eastAsia="Times New Roman" w:hAnsi="Georgia" w:cs="Times New Roman"/>
          <w:i/>
          <w:iCs/>
        </w:rPr>
        <w:t>through</w:t>
      </w:r>
      <w:r w:rsidRPr="00115D32">
        <w:rPr>
          <w:rFonts w:ascii="Georgia" w:eastAsia="Times New Roman" w:hAnsi="Georgia" w:cs="Times New Roman"/>
        </w:rPr>
        <w:t> writing. I saw the high cost of this phenomenon first-hand at the urban community college where I taught writing for eight years, an institution where </w:t>
      </w:r>
      <w:hyperlink r:id="rId12" w:history="1">
        <w:r w:rsidRPr="00115D32">
          <w:rPr>
            <w:rFonts w:ascii="Georgia" w:eastAsia="Times New Roman" w:hAnsi="Georgia" w:cs="Times New Roman"/>
          </w:rPr>
          <w:t>more than 90 percent</w:t>
        </w:r>
      </w:hyperlink>
      <w:r w:rsidRPr="00115D32">
        <w:rPr>
          <w:rFonts w:ascii="Georgia" w:eastAsia="Times New Roman" w:hAnsi="Georgia" w:cs="Times New Roman"/>
        </w:rPr>
        <w:t> of students failed to complete a two-</w:t>
      </w:r>
      <w:r w:rsidRPr="00115D32">
        <w:rPr>
          <w:rFonts w:ascii="Georgia" w:eastAsia="Times New Roman" w:hAnsi="Georgia" w:cs="Times New Roman"/>
        </w:rPr>
        <w:lastRenderedPageBreak/>
        <w:t>year degree within three years. (The national average is only marginally better at </w:t>
      </w:r>
      <w:hyperlink r:id="rId13" w:history="1">
        <w:r w:rsidRPr="00115D32">
          <w:rPr>
            <w:rFonts w:ascii="Georgia" w:eastAsia="Times New Roman" w:hAnsi="Georgia" w:cs="Times New Roman"/>
          </w:rPr>
          <w:t>roughly 80 percent</w:t>
        </w:r>
      </w:hyperlink>
      <w:r w:rsidRPr="00115D32">
        <w:rPr>
          <w:rFonts w:ascii="Georgia" w:eastAsia="Times New Roman" w:hAnsi="Georgia" w:cs="Times New Roman"/>
        </w:rPr>
        <w:t>.) A primary culprit: the required developmental writing classes that focused on traditional grammar instruction. Again and again, I witnessed aspiration gave way to discouragement. In this seven-college system, some </w:t>
      </w:r>
      <w:hyperlink r:id="rId14" w:history="1">
        <w:r w:rsidRPr="00115D32">
          <w:rPr>
            <w:rFonts w:ascii="Georgia" w:eastAsia="Times New Roman" w:hAnsi="Georgia" w:cs="Times New Roman"/>
          </w:rPr>
          <w:t>80 percent</w:t>
        </w:r>
      </w:hyperlink>
      <w:r w:rsidRPr="00115D32">
        <w:rPr>
          <w:rFonts w:ascii="Georgia" w:eastAsia="Times New Roman" w:hAnsi="Georgia" w:cs="Times New Roman"/>
        </w:rPr>
        <w:t> of the students test into such classes where they can spend up to a year before being asked to write more than a paragraph. Nationally, </w:t>
      </w:r>
      <w:hyperlink r:id="rId15" w:history="1">
        <w:r w:rsidRPr="00115D32">
          <w:rPr>
            <w:rFonts w:ascii="Georgia" w:eastAsia="Times New Roman" w:hAnsi="Georgia" w:cs="Times New Roman"/>
          </w:rPr>
          <w:t>over half</w:t>
        </w:r>
      </w:hyperlink>
      <w:r w:rsidRPr="00115D32">
        <w:rPr>
          <w:rFonts w:ascii="Georgia" w:eastAsia="Times New Roman" w:hAnsi="Georgia" w:cs="Times New Roman"/>
        </w:rPr>
        <w:t> of university and college students in developmental classes drop out before going any further. Essentially, they leave before having begun college.</w:t>
      </w:r>
    </w:p>
    <w:p w:rsidR="00115D32" w:rsidRPr="00115D32" w:rsidRDefault="00115D32" w:rsidP="00115D32">
      <w:pPr>
        <w:shd w:val="clear" w:color="auto" w:fill="FFFFFF"/>
        <w:spacing w:before="100" w:beforeAutospacing="1" w:after="100" w:afterAutospacing="1" w:line="240" w:lineRule="auto"/>
        <w:rPr>
          <w:rFonts w:ascii="Georgia" w:eastAsia="Times New Roman" w:hAnsi="Georgia" w:cs="Times New Roman"/>
        </w:rPr>
      </w:pPr>
      <w:r w:rsidRPr="00115D32">
        <w:rPr>
          <w:rFonts w:ascii="Georgia" w:eastAsia="Times New Roman" w:hAnsi="Georgia" w:cs="Times New Roman"/>
        </w:rPr>
        <w:t>Happily, there are solutions. Just as we teach children how to ride bikes by putting them on a bicycle, we need to teach students how to write grammatically by letting them write. Once students get ideas they care about onto the page, they are ready for instruction—including grammar instruction—that will help communicate those ideas. </w:t>
      </w:r>
      <w:hyperlink r:id="rId16" w:history="1">
        <w:r w:rsidRPr="00115D32">
          <w:rPr>
            <w:rFonts w:ascii="Georgia" w:eastAsia="Times New Roman" w:hAnsi="Georgia" w:cs="Times New Roman"/>
          </w:rPr>
          <w:t>We know</w:t>
        </w:r>
      </w:hyperlink>
      <w:r w:rsidRPr="00115D32">
        <w:rPr>
          <w:rFonts w:ascii="Georgia" w:eastAsia="Times New Roman" w:hAnsi="Georgia" w:cs="Times New Roman"/>
        </w:rPr>
        <w:t> that grammar instruction that works includes teaching students strategies for revising and editing, providing targeted lessons on problems that students immediately apply to their own writing, and having students play with sentences like Legos, combining basic sentences into more complex ones. Often, surprisingly little formal grammar instruction is needed. Researcher </w:t>
      </w:r>
      <w:hyperlink r:id="rId17" w:history="1">
        <w:r w:rsidRPr="00115D32">
          <w:rPr>
            <w:rFonts w:ascii="Georgia" w:eastAsia="Times New Roman" w:hAnsi="Georgia" w:cs="Times New Roman"/>
          </w:rPr>
          <w:t>Marcia </w:t>
        </w:r>
        <w:proofErr w:type="spellStart"/>
        <w:r w:rsidRPr="00115D32">
          <w:rPr>
            <w:rFonts w:ascii="Georgia" w:eastAsia="Times New Roman" w:hAnsi="Georgia" w:cs="Times New Roman"/>
          </w:rPr>
          <w:t>Hurlow</w:t>
        </w:r>
        <w:proofErr w:type="spellEnd"/>
      </w:hyperlink>
      <w:r w:rsidRPr="00115D32">
        <w:rPr>
          <w:rFonts w:ascii="Georgia" w:eastAsia="Times New Roman" w:hAnsi="Georgia" w:cs="Times New Roman"/>
        </w:rPr>
        <w:t> has shown that many errors “disappear” from student writing when students focus on their ideas and stop “trying to ‘sound correct.’”</w:t>
      </w:r>
    </w:p>
    <w:p w:rsidR="00115D32" w:rsidRDefault="00115D32" w:rsidP="00115D32">
      <w:pPr>
        <w:shd w:val="clear" w:color="auto" w:fill="FFFFFF"/>
        <w:spacing w:before="100" w:beforeAutospacing="1" w:after="100" w:afterAutospacing="1" w:line="240" w:lineRule="auto"/>
        <w:rPr>
          <w:rFonts w:ascii="Georgia" w:eastAsia="Times New Roman" w:hAnsi="Georgia" w:cs="Times New Roman"/>
        </w:rPr>
      </w:pPr>
      <w:r w:rsidRPr="00115D32">
        <w:rPr>
          <w:rFonts w:ascii="Georgia" w:eastAsia="Times New Roman" w:hAnsi="Georgia" w:cs="Times New Roman"/>
        </w:rPr>
        <w:t>There are also less immediately apparent costs to having generations of learners who associate writing only with correctness. Invariably, when people learn that I teach writing, they offer their “grammar confessions.” Sheepishly, they tell me that they “never really learned grammar,” and sadly, it also often comes out that they avoid writing. I have interviewed an executive who locked herself in her office and called her son when she had to write reports, and I have had parents describe writing their child’s paper because the kid was paralyzed with writing anxiety. I have even had people tell me that they passed up job opportunities because they required writing.</w:t>
      </w:r>
    </w:p>
    <w:p w:rsidR="00115D32" w:rsidRPr="00115D32" w:rsidRDefault="00115D32" w:rsidP="00115D32">
      <w:pPr>
        <w:shd w:val="clear" w:color="auto" w:fill="FFFFFF"/>
        <w:spacing w:before="100" w:beforeAutospacing="1" w:after="100" w:afterAutospacing="1" w:line="240" w:lineRule="auto"/>
        <w:rPr>
          <w:rFonts w:ascii="Georgia" w:eastAsia="Times New Roman" w:hAnsi="Georgia" w:cs="Times New Roman"/>
        </w:rPr>
      </w:pPr>
      <w:r w:rsidRPr="00115D32">
        <w:rPr>
          <w:rFonts w:ascii="Georgia" w:eastAsia="Times New Roman" w:hAnsi="Georgia" w:cs="Times New Roman"/>
        </w:rPr>
        <w:t>Schools that have shifted from traditional “stand-alone” grammar to teaching grammar through writing offer concrete proof that such approaches work. They are moving more students more quickly into college-level courses than previously thought possible. One of these is </w:t>
      </w:r>
      <w:hyperlink r:id="rId18" w:history="1">
        <w:r w:rsidRPr="00115D32">
          <w:rPr>
            <w:rFonts w:ascii="Georgia" w:eastAsia="Times New Roman" w:hAnsi="Georgia" w:cs="Times New Roman"/>
          </w:rPr>
          <w:t>a program</w:t>
        </w:r>
      </w:hyperlink>
      <w:r w:rsidRPr="00115D32">
        <w:rPr>
          <w:rFonts w:ascii="Georgia" w:eastAsia="Times New Roman" w:hAnsi="Georgia" w:cs="Times New Roman"/>
        </w:rPr>
        <w:t> at Arizona State in which students who test below college-level in their writing ability immediately begin writing college essays. More than 88 percent of these students pass freshman English—a pass rate that is higher than that for students who enter the university as college-level writers. At the Community College of Baltimore, </w:t>
      </w:r>
      <w:hyperlink r:id="rId19" w:history="1">
        <w:r w:rsidRPr="00115D32">
          <w:rPr>
            <w:rFonts w:ascii="Georgia" w:eastAsia="Times New Roman" w:hAnsi="Georgia" w:cs="Times New Roman"/>
          </w:rPr>
          <w:t>a program</w:t>
        </w:r>
      </w:hyperlink>
      <w:r w:rsidRPr="00115D32">
        <w:rPr>
          <w:rFonts w:ascii="Georgia" w:eastAsia="Times New Roman" w:hAnsi="Georgia" w:cs="Times New Roman"/>
        </w:rPr>
        <w:t> in which developmental writing students get additional support while taking college-level writing classes has reduced the time these students spend in developmental courses while more than doubling the number who pass freshman composition. More than </w:t>
      </w:r>
      <w:hyperlink r:id="rId20" w:history="1">
        <w:r w:rsidRPr="00115D32">
          <w:rPr>
            <w:rFonts w:ascii="Georgia" w:eastAsia="Times New Roman" w:hAnsi="Georgia" w:cs="Times New Roman"/>
          </w:rPr>
          <w:t>60 colleges</w:t>
        </w:r>
      </w:hyperlink>
      <w:r w:rsidRPr="00115D32">
        <w:rPr>
          <w:rFonts w:ascii="Georgia" w:eastAsia="Times New Roman" w:hAnsi="Georgia" w:cs="Times New Roman"/>
        </w:rPr>
        <w:t> and universities are now experimenting with programs modeled on this approach.</w:t>
      </w:r>
    </w:p>
    <w:p w:rsidR="00115D32" w:rsidRPr="00115D32" w:rsidRDefault="00115D32" w:rsidP="00115D32">
      <w:pPr>
        <w:shd w:val="clear" w:color="auto" w:fill="FFFFFF"/>
        <w:spacing w:before="100" w:beforeAutospacing="1" w:after="100" w:afterAutospacing="1" w:line="240" w:lineRule="auto"/>
        <w:rPr>
          <w:rFonts w:ascii="Georgia" w:eastAsia="Times New Roman" w:hAnsi="Georgia" w:cs="Times New Roman"/>
        </w:rPr>
      </w:pPr>
      <w:r w:rsidRPr="00115D32">
        <w:rPr>
          <w:rFonts w:ascii="Georgia" w:eastAsia="Times New Roman" w:hAnsi="Georgia" w:cs="Times New Roman"/>
        </w:rPr>
        <w:t>In 1984, George Hillocks, a renowned professor of English and Education at the University of Chicago, </w:t>
      </w:r>
      <w:hyperlink r:id="rId21" w:history="1">
        <w:r w:rsidRPr="00115D32">
          <w:rPr>
            <w:rFonts w:ascii="Georgia" w:eastAsia="Times New Roman" w:hAnsi="Georgia" w:cs="Times New Roman"/>
          </w:rPr>
          <w:t>published an analysis</w:t>
        </w:r>
      </w:hyperlink>
      <w:r w:rsidRPr="00115D32">
        <w:rPr>
          <w:rFonts w:ascii="Georgia" w:eastAsia="Times New Roman" w:hAnsi="Georgia" w:cs="Times New Roman"/>
        </w:rPr>
        <w:t> of the research on teaching writing. He concluded that, “School boards, administrators, and teachers who impose the systematic study of traditional school grammar on their students over lengthy periods of time in the name of teaching writing do them a gross disservice that should not be tolerated by anyone concerned with the effective teaching of good writing.” If 30 years later, you or your child is still being taught grammar independent of actually writing, it is well past time to demand writing instruction that is grounded in research rather than nostalgia.</w:t>
      </w:r>
    </w:p>
    <w:p w:rsidR="00B87284" w:rsidRPr="00115D32" w:rsidRDefault="00B87284"/>
    <w:sectPr w:rsidR="00B87284" w:rsidRPr="00115D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E2D7B"/>
    <w:multiLevelType w:val="multilevel"/>
    <w:tmpl w:val="F8EE4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C966BF"/>
    <w:multiLevelType w:val="multilevel"/>
    <w:tmpl w:val="F00EF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D32"/>
    <w:rsid w:val="00115D32"/>
    <w:rsid w:val="00792B3F"/>
    <w:rsid w:val="00B87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7B535"/>
  <w15:chartTrackingRefBased/>
  <w15:docId w15:val="{E4E87FC8-C2AB-4E0A-9D37-9676D33E4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233782">
      <w:bodyDiv w:val="1"/>
      <w:marLeft w:val="0"/>
      <w:marRight w:val="0"/>
      <w:marTop w:val="0"/>
      <w:marBottom w:val="0"/>
      <w:divBdr>
        <w:top w:val="none" w:sz="0" w:space="0" w:color="auto"/>
        <w:left w:val="none" w:sz="0" w:space="0" w:color="auto"/>
        <w:bottom w:val="none" w:sz="0" w:space="0" w:color="auto"/>
        <w:right w:val="none" w:sz="0" w:space="0" w:color="auto"/>
      </w:divBdr>
      <w:divsChild>
        <w:div w:id="484322389">
          <w:marLeft w:val="0"/>
          <w:marRight w:val="0"/>
          <w:marTop w:val="0"/>
          <w:marBottom w:val="0"/>
          <w:divBdr>
            <w:top w:val="none" w:sz="0" w:space="0" w:color="auto"/>
            <w:left w:val="none" w:sz="0" w:space="0" w:color="auto"/>
            <w:bottom w:val="none" w:sz="0" w:space="0" w:color="auto"/>
            <w:right w:val="none" w:sz="0" w:space="0" w:color="auto"/>
          </w:divBdr>
          <w:divsChild>
            <w:div w:id="1081682817">
              <w:marLeft w:val="0"/>
              <w:marRight w:val="0"/>
              <w:marTop w:val="0"/>
              <w:marBottom w:val="0"/>
              <w:divBdr>
                <w:top w:val="none" w:sz="0" w:space="0" w:color="auto"/>
                <w:left w:val="none" w:sz="0" w:space="0" w:color="auto"/>
                <w:bottom w:val="none" w:sz="0" w:space="0" w:color="auto"/>
                <w:right w:val="none" w:sz="0" w:space="0" w:color="auto"/>
              </w:divBdr>
              <w:divsChild>
                <w:div w:id="1044407184">
                  <w:marLeft w:val="0"/>
                  <w:marRight w:val="0"/>
                  <w:marTop w:val="0"/>
                  <w:marBottom w:val="0"/>
                  <w:divBdr>
                    <w:top w:val="none" w:sz="0" w:space="0" w:color="auto"/>
                    <w:left w:val="none" w:sz="0" w:space="0" w:color="auto"/>
                    <w:bottom w:val="none" w:sz="0" w:space="0" w:color="auto"/>
                    <w:right w:val="none" w:sz="0" w:space="0" w:color="auto"/>
                  </w:divBdr>
                  <w:divsChild>
                    <w:div w:id="1788161426">
                      <w:marLeft w:val="0"/>
                      <w:marRight w:val="0"/>
                      <w:marTop w:val="0"/>
                      <w:marBottom w:val="0"/>
                      <w:divBdr>
                        <w:top w:val="none" w:sz="0" w:space="0" w:color="auto"/>
                        <w:left w:val="none" w:sz="0" w:space="0" w:color="auto"/>
                        <w:bottom w:val="none" w:sz="0" w:space="0" w:color="auto"/>
                        <w:right w:val="none" w:sz="0" w:space="0" w:color="auto"/>
                      </w:divBdr>
                    </w:div>
                  </w:divsChild>
                </w:div>
                <w:div w:id="682904523">
                  <w:marLeft w:val="0"/>
                  <w:marRight w:val="0"/>
                  <w:marTop w:val="0"/>
                  <w:marBottom w:val="0"/>
                  <w:divBdr>
                    <w:top w:val="none" w:sz="0" w:space="0" w:color="auto"/>
                    <w:left w:val="none" w:sz="0" w:space="0" w:color="auto"/>
                    <w:bottom w:val="none" w:sz="0" w:space="0" w:color="auto"/>
                    <w:right w:val="none" w:sz="0" w:space="0" w:color="auto"/>
                  </w:divBdr>
                </w:div>
              </w:divsChild>
            </w:div>
            <w:div w:id="1602256672">
              <w:marLeft w:val="0"/>
              <w:marRight w:val="0"/>
              <w:marTop w:val="0"/>
              <w:marBottom w:val="0"/>
              <w:divBdr>
                <w:top w:val="none" w:sz="0" w:space="0" w:color="auto"/>
                <w:left w:val="none" w:sz="0" w:space="0" w:color="auto"/>
                <w:bottom w:val="none" w:sz="0" w:space="0" w:color="auto"/>
                <w:right w:val="none" w:sz="0" w:space="0" w:color="auto"/>
              </w:divBdr>
              <w:divsChild>
                <w:div w:id="9379461">
                  <w:marLeft w:val="0"/>
                  <w:marRight w:val="0"/>
                  <w:marTop w:val="0"/>
                  <w:marBottom w:val="0"/>
                  <w:divBdr>
                    <w:top w:val="none" w:sz="0" w:space="0" w:color="auto"/>
                    <w:left w:val="none" w:sz="0" w:space="0" w:color="auto"/>
                    <w:bottom w:val="single" w:sz="6" w:space="24" w:color="CCCCCC"/>
                    <w:right w:val="none" w:sz="0" w:space="0" w:color="auto"/>
                  </w:divBdr>
                </w:div>
              </w:divsChild>
            </w:div>
          </w:divsChild>
        </w:div>
        <w:div w:id="1998726736">
          <w:marLeft w:val="0"/>
          <w:marRight w:val="0"/>
          <w:marTop w:val="450"/>
          <w:marBottom w:val="450"/>
          <w:divBdr>
            <w:top w:val="none" w:sz="0" w:space="0" w:color="auto"/>
            <w:left w:val="none" w:sz="0" w:space="0" w:color="auto"/>
            <w:bottom w:val="none" w:sz="0" w:space="0" w:color="auto"/>
            <w:right w:val="none" w:sz="0" w:space="0" w:color="auto"/>
          </w:divBdr>
          <w:divsChild>
            <w:div w:id="1218080825">
              <w:marLeft w:val="0"/>
              <w:marRight w:val="0"/>
              <w:marTop w:val="0"/>
              <w:marBottom w:val="0"/>
              <w:divBdr>
                <w:top w:val="none" w:sz="0" w:space="0" w:color="auto"/>
                <w:left w:val="none" w:sz="0" w:space="0" w:color="auto"/>
                <w:bottom w:val="none" w:sz="0" w:space="0" w:color="auto"/>
                <w:right w:val="none" w:sz="0" w:space="0" w:color="auto"/>
              </w:divBdr>
            </w:div>
            <w:div w:id="143185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or.org/stable/1085093" TargetMode="External"/><Relationship Id="rId13" Type="http://schemas.openxmlformats.org/officeDocument/2006/relationships/hyperlink" Target="http://nces.ed.gov/pubs2014/2014015.pdf" TargetMode="External"/><Relationship Id="rId18" Type="http://schemas.openxmlformats.org/officeDocument/2006/relationships/hyperlink" Target="http://english.clas.asu.edu/wp-stretch" TargetMode="External"/><Relationship Id="rId3" Type="http://schemas.openxmlformats.org/officeDocument/2006/relationships/settings" Target="settings.xml"/><Relationship Id="rId21" Type="http://schemas.openxmlformats.org/officeDocument/2006/relationships/hyperlink" Target="http://www.jstor.org/stable/1085093" TargetMode="External"/><Relationship Id="rId7" Type="http://schemas.openxmlformats.org/officeDocument/2006/relationships/hyperlink" Target="http://books.google.com/books?ei=jir_Uv2-JNjeoATF94LYBA&amp;id=Zydneu918X0C&amp;dq=George+hillocks+michael+smith+grammar+and+usage&amp;focus=searchwithinvolume&amp;q=nearly+90" TargetMode="External"/><Relationship Id="rId12" Type="http://schemas.openxmlformats.org/officeDocument/2006/relationships/hyperlink" Target="http://www.ccc.edu/menu/Pages/Facts-and-Statistics.aspx" TargetMode="External"/><Relationship Id="rId17" Type="http://schemas.openxmlformats.org/officeDocument/2006/relationships/hyperlink" Target="http://files.eric.ed.gov/fulltext/ED357365.pdf" TargetMode="External"/><Relationship Id="rId2" Type="http://schemas.openxmlformats.org/officeDocument/2006/relationships/styles" Target="styles.xml"/><Relationship Id="rId16" Type="http://schemas.openxmlformats.org/officeDocument/2006/relationships/hyperlink" Target="https://www.baruch.cuny.edu/spa/researchcenters/documents/WritingNext.pdf" TargetMode="External"/><Relationship Id="rId20" Type="http://schemas.openxmlformats.org/officeDocument/2006/relationships/hyperlink" Target="http://alp-deved.org/alp-schools-directory/" TargetMode="External"/><Relationship Id="rId1" Type="http://schemas.openxmlformats.org/officeDocument/2006/relationships/numbering" Target="numbering.xml"/><Relationship Id="rId6" Type="http://schemas.openxmlformats.org/officeDocument/2006/relationships/hyperlink" Target="http://www.theatlantic.com/author/michelle-navarre-cleary/" TargetMode="External"/><Relationship Id="rId11" Type="http://schemas.openxmlformats.org/officeDocument/2006/relationships/hyperlink" Target="http://eric.ed.gov/?id=ED185588" TargetMode="External"/><Relationship Id="rId5" Type="http://schemas.openxmlformats.org/officeDocument/2006/relationships/image" Target="media/image1.jpeg"/><Relationship Id="rId15" Type="http://schemas.openxmlformats.org/officeDocument/2006/relationships/hyperlink" Target="http://www.ncsl.org/research/education/improving-college-completion-reforming-remedial.aspx" TargetMode="External"/><Relationship Id="rId23" Type="http://schemas.openxmlformats.org/officeDocument/2006/relationships/theme" Target="theme/theme1.xml"/><Relationship Id="rId10" Type="http://schemas.openxmlformats.org/officeDocument/2006/relationships/hyperlink" Target="http://psycnet.apa.org/journals/edu/104/4/879?utm_source=feedburner&amp;utm_medium=feed&amp;utm_campaign=Feed:%20apa-journals-edu%20(Journal%20of%20Educational%20Psychology" TargetMode="External"/><Relationship Id="rId19" Type="http://schemas.openxmlformats.org/officeDocument/2006/relationships/hyperlink" Target="http://alp-deved.org/what-is-alp-exactly/" TargetMode="External"/><Relationship Id="rId4" Type="http://schemas.openxmlformats.org/officeDocument/2006/relationships/webSettings" Target="webSettings.xml"/><Relationship Id="rId9" Type="http://schemas.openxmlformats.org/officeDocument/2006/relationships/hyperlink" Target="http://bridgestolearning2009.pbworks.com/f/graham%26perin07.pdf" TargetMode="External"/><Relationship Id="rId14" Type="http://schemas.openxmlformats.org/officeDocument/2006/relationships/hyperlink" Target="http://www.suntimes.com/news/metro/5189336-418/college-can-be-a-rude-remedial-awakening.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Gunter - (GRREC)</dc:creator>
  <cp:keywords/>
  <dc:description/>
  <cp:lastModifiedBy>Angie Gunter - (GRREC)</cp:lastModifiedBy>
  <cp:revision>1</cp:revision>
  <dcterms:created xsi:type="dcterms:W3CDTF">2017-01-22T18:08:00Z</dcterms:created>
  <dcterms:modified xsi:type="dcterms:W3CDTF">2017-01-22T18:19:00Z</dcterms:modified>
</cp:coreProperties>
</file>