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8D" w:rsidRPr="00454400" w:rsidRDefault="009F068D" w:rsidP="00454400">
      <w:pPr>
        <w:jc w:val="center"/>
        <w:rPr>
          <w:rFonts w:ascii="Calibri" w:hAnsi="Calibri" w:cs="Cambria"/>
          <w:b/>
        </w:rPr>
      </w:pPr>
      <w:r w:rsidRPr="00454400">
        <w:rPr>
          <w:rFonts w:ascii="Calibri" w:hAnsi="Calibri" w:cs="Cambria"/>
          <w:b/>
        </w:rPr>
        <w:t>Updated Text Complexity Grade Bands and Associated Ranges from Multiple Measures</w:t>
      </w:r>
      <w:r w:rsidRPr="00454400">
        <w:rPr>
          <w:rStyle w:val="FootnoteReference"/>
          <w:rFonts w:ascii="Calibri" w:hAnsi="Calibri" w:cs="Cambria"/>
        </w:rPr>
        <w:footnoteReference w:id="1"/>
      </w:r>
    </w:p>
    <w:p w:rsidR="009F068D" w:rsidRPr="00454400" w:rsidRDefault="009F068D" w:rsidP="009F068D">
      <w:pPr>
        <w:spacing w:after="0" w:line="240" w:lineRule="auto"/>
        <w:rPr>
          <w:rFonts w:ascii="Calibri" w:hAnsi="Calibri" w:cs="Cambria"/>
          <w:color w:val="FF000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1440"/>
        <w:gridCol w:w="1440"/>
        <w:gridCol w:w="1440"/>
        <w:gridCol w:w="1440"/>
        <w:gridCol w:w="1440"/>
        <w:gridCol w:w="1440"/>
        <w:gridCol w:w="1440"/>
      </w:tblGrid>
      <w:tr w:rsidR="009F068D" w:rsidRPr="00454400" w:rsidTr="000D0DFE">
        <w:tc>
          <w:tcPr>
            <w:tcW w:w="1440" w:type="dxa"/>
            <w:shd w:val="pct25" w:color="auto" w:fill="auto"/>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Common Core Band</w:t>
            </w:r>
          </w:p>
        </w:tc>
        <w:tc>
          <w:tcPr>
            <w:tcW w:w="1440" w:type="dxa"/>
            <w:shd w:val="pct25" w:color="auto" w:fill="auto"/>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ATOS</w:t>
            </w:r>
          </w:p>
        </w:tc>
        <w:tc>
          <w:tcPr>
            <w:tcW w:w="1440" w:type="dxa"/>
            <w:shd w:val="pct25" w:color="auto" w:fill="auto"/>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Degrees of Reading Power®</w:t>
            </w:r>
          </w:p>
        </w:tc>
        <w:tc>
          <w:tcPr>
            <w:tcW w:w="1440" w:type="dxa"/>
            <w:shd w:val="pct25" w:color="auto" w:fill="auto"/>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Flesch-Kincaid</w:t>
            </w:r>
            <w:r w:rsidRPr="00454400">
              <w:rPr>
                <w:rStyle w:val="FootnoteReference"/>
                <w:rFonts w:ascii="Calibri" w:hAnsi="Calibri" w:cs="Cambria"/>
                <w:b/>
                <w:sz w:val="20"/>
                <w:szCs w:val="20"/>
              </w:rPr>
              <w:footnoteReference w:id="2"/>
            </w:r>
          </w:p>
        </w:tc>
        <w:tc>
          <w:tcPr>
            <w:tcW w:w="1440" w:type="dxa"/>
            <w:shd w:val="pct25" w:color="auto" w:fill="auto"/>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 xml:space="preserve">The </w:t>
            </w:r>
            <w:proofErr w:type="spellStart"/>
            <w:r w:rsidRPr="00454400">
              <w:rPr>
                <w:rFonts w:ascii="Calibri" w:hAnsi="Calibri" w:cs="Cambria"/>
                <w:b/>
                <w:sz w:val="20"/>
                <w:szCs w:val="20"/>
              </w:rPr>
              <w:t>Lexile</w:t>
            </w:r>
            <w:proofErr w:type="spellEnd"/>
            <w:r w:rsidRPr="00454400">
              <w:rPr>
                <w:rFonts w:ascii="Calibri" w:hAnsi="Calibri" w:cs="Cambria"/>
                <w:b/>
                <w:sz w:val="20"/>
                <w:szCs w:val="20"/>
              </w:rPr>
              <w:t xml:space="preserve"> Framework®</w:t>
            </w:r>
          </w:p>
        </w:tc>
        <w:tc>
          <w:tcPr>
            <w:tcW w:w="1440" w:type="dxa"/>
            <w:shd w:val="pct25" w:color="auto" w:fill="auto"/>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Reading Maturity</w:t>
            </w:r>
          </w:p>
        </w:tc>
        <w:tc>
          <w:tcPr>
            <w:tcW w:w="1440" w:type="dxa"/>
            <w:shd w:val="pct25" w:color="auto" w:fill="auto"/>
            <w:vAlign w:val="bottom"/>
          </w:tcPr>
          <w:p w:rsidR="009F068D" w:rsidRPr="00454400" w:rsidRDefault="009F068D" w:rsidP="009F068D">
            <w:pPr>
              <w:spacing w:after="0" w:line="240" w:lineRule="auto"/>
              <w:jc w:val="center"/>
              <w:rPr>
                <w:rFonts w:ascii="Calibri" w:hAnsi="Calibri" w:cs="Cambria"/>
                <w:b/>
                <w:sz w:val="20"/>
                <w:szCs w:val="20"/>
              </w:rPr>
            </w:pPr>
            <w:proofErr w:type="spellStart"/>
            <w:r w:rsidRPr="00454400">
              <w:rPr>
                <w:rFonts w:ascii="Calibri" w:hAnsi="Calibri" w:cs="Cambria"/>
                <w:b/>
                <w:sz w:val="20"/>
                <w:szCs w:val="20"/>
              </w:rPr>
              <w:t>SourceRater</w:t>
            </w:r>
            <w:proofErr w:type="spellEnd"/>
          </w:p>
        </w:tc>
      </w:tr>
      <w:tr w:rsidR="009F068D" w:rsidRPr="00454400" w:rsidTr="009F068D">
        <w:tc>
          <w:tcPr>
            <w:tcW w:w="1440" w:type="dxa"/>
            <w:shd w:val="pct12" w:color="auto" w:fill="auto"/>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2</w:t>
            </w:r>
            <w:r w:rsidRPr="00454400">
              <w:rPr>
                <w:rFonts w:ascii="Calibri" w:hAnsi="Calibri" w:cs="Cambria"/>
                <w:b/>
                <w:sz w:val="20"/>
                <w:szCs w:val="20"/>
                <w:vertAlign w:val="superscript"/>
              </w:rPr>
              <w:t>nd</w:t>
            </w:r>
            <w:r w:rsidRPr="00454400">
              <w:rPr>
                <w:rFonts w:ascii="Calibri" w:hAnsi="Calibri" w:cs="Cambria"/>
                <w:b/>
                <w:sz w:val="20"/>
                <w:szCs w:val="20"/>
              </w:rPr>
              <w:t xml:space="preserve"> – 3</w:t>
            </w:r>
            <w:r w:rsidRPr="00454400">
              <w:rPr>
                <w:rFonts w:ascii="Calibri" w:hAnsi="Calibri" w:cs="Cambria"/>
                <w:b/>
                <w:sz w:val="20"/>
                <w:szCs w:val="20"/>
                <w:vertAlign w:val="superscript"/>
              </w:rPr>
              <w:t>rd</w:t>
            </w:r>
          </w:p>
        </w:tc>
        <w:tc>
          <w:tcPr>
            <w:tcW w:w="1440" w:type="dxa"/>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2.75 – 5.14</w:t>
            </w:r>
          </w:p>
        </w:tc>
        <w:tc>
          <w:tcPr>
            <w:tcW w:w="1440" w:type="dxa"/>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42 – 54</w:t>
            </w:r>
          </w:p>
        </w:tc>
        <w:tc>
          <w:tcPr>
            <w:tcW w:w="1440" w:type="dxa"/>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1.98 – 5.34</w:t>
            </w:r>
          </w:p>
        </w:tc>
        <w:tc>
          <w:tcPr>
            <w:tcW w:w="1440" w:type="dxa"/>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420 – 820</w:t>
            </w:r>
          </w:p>
        </w:tc>
        <w:tc>
          <w:tcPr>
            <w:tcW w:w="1440" w:type="dxa"/>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3.53 – 6.13</w:t>
            </w:r>
          </w:p>
        </w:tc>
        <w:tc>
          <w:tcPr>
            <w:tcW w:w="1440" w:type="dxa"/>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0.05 – 2.48</w:t>
            </w:r>
          </w:p>
        </w:tc>
      </w:tr>
      <w:tr w:rsidR="009F068D" w:rsidRPr="00454400" w:rsidTr="009F068D">
        <w:tc>
          <w:tcPr>
            <w:tcW w:w="1440" w:type="dxa"/>
            <w:shd w:val="pct12" w:color="auto" w:fill="auto"/>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4</w:t>
            </w:r>
            <w:r w:rsidRPr="00454400">
              <w:rPr>
                <w:rFonts w:ascii="Calibri" w:hAnsi="Calibri" w:cs="Cambria"/>
                <w:b/>
                <w:sz w:val="20"/>
                <w:szCs w:val="20"/>
                <w:vertAlign w:val="superscript"/>
              </w:rPr>
              <w:t>th</w:t>
            </w:r>
            <w:r w:rsidRPr="00454400">
              <w:rPr>
                <w:rFonts w:ascii="Calibri" w:hAnsi="Calibri" w:cs="Cambria"/>
                <w:b/>
                <w:sz w:val="20"/>
                <w:szCs w:val="20"/>
              </w:rPr>
              <w:t xml:space="preserve"> – 5</w:t>
            </w:r>
            <w:r w:rsidRPr="00454400">
              <w:rPr>
                <w:rFonts w:ascii="Calibri" w:hAnsi="Calibri" w:cs="Cambria"/>
                <w:b/>
                <w:sz w:val="20"/>
                <w:szCs w:val="20"/>
                <w:vertAlign w:val="superscript"/>
              </w:rPr>
              <w:t>th</w:t>
            </w:r>
          </w:p>
        </w:tc>
        <w:tc>
          <w:tcPr>
            <w:tcW w:w="1440" w:type="dxa"/>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4.97 – 7.03</w:t>
            </w:r>
          </w:p>
        </w:tc>
        <w:tc>
          <w:tcPr>
            <w:tcW w:w="1440" w:type="dxa"/>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52 – 60</w:t>
            </w:r>
          </w:p>
        </w:tc>
        <w:tc>
          <w:tcPr>
            <w:tcW w:w="1440" w:type="dxa"/>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4.51 – 7.73</w:t>
            </w:r>
          </w:p>
        </w:tc>
        <w:tc>
          <w:tcPr>
            <w:tcW w:w="1440" w:type="dxa"/>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740 – 1010</w:t>
            </w:r>
          </w:p>
        </w:tc>
        <w:tc>
          <w:tcPr>
            <w:tcW w:w="1440" w:type="dxa"/>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5.42 – 7.92</w:t>
            </w:r>
          </w:p>
        </w:tc>
        <w:tc>
          <w:tcPr>
            <w:tcW w:w="1440" w:type="dxa"/>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0.84 – 5.75</w:t>
            </w:r>
          </w:p>
        </w:tc>
      </w:tr>
      <w:tr w:rsidR="009F068D" w:rsidRPr="00454400" w:rsidTr="009F068D">
        <w:tc>
          <w:tcPr>
            <w:tcW w:w="1440" w:type="dxa"/>
            <w:shd w:val="pct12" w:color="auto" w:fill="auto"/>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6</w:t>
            </w:r>
            <w:r w:rsidRPr="00454400">
              <w:rPr>
                <w:rFonts w:ascii="Calibri" w:hAnsi="Calibri" w:cs="Cambria"/>
                <w:b/>
                <w:sz w:val="20"/>
                <w:szCs w:val="20"/>
                <w:vertAlign w:val="superscript"/>
              </w:rPr>
              <w:t>th</w:t>
            </w:r>
            <w:r w:rsidRPr="00454400">
              <w:rPr>
                <w:rFonts w:ascii="Calibri" w:hAnsi="Calibri" w:cs="Cambria"/>
                <w:b/>
                <w:sz w:val="20"/>
                <w:szCs w:val="20"/>
              </w:rPr>
              <w:t xml:space="preserve"> – 8</w:t>
            </w:r>
            <w:r w:rsidRPr="00454400">
              <w:rPr>
                <w:rFonts w:ascii="Calibri" w:hAnsi="Calibri" w:cs="Cambria"/>
                <w:b/>
                <w:sz w:val="20"/>
                <w:szCs w:val="20"/>
                <w:vertAlign w:val="superscript"/>
              </w:rPr>
              <w:t>th</w:t>
            </w:r>
          </w:p>
        </w:tc>
        <w:tc>
          <w:tcPr>
            <w:tcW w:w="1440" w:type="dxa"/>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7.00 – 9.98</w:t>
            </w:r>
          </w:p>
        </w:tc>
        <w:tc>
          <w:tcPr>
            <w:tcW w:w="1440" w:type="dxa"/>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57 – 67</w:t>
            </w:r>
          </w:p>
        </w:tc>
        <w:tc>
          <w:tcPr>
            <w:tcW w:w="1440" w:type="dxa"/>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6.51 – 10.34</w:t>
            </w:r>
          </w:p>
        </w:tc>
        <w:tc>
          <w:tcPr>
            <w:tcW w:w="1440" w:type="dxa"/>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925 – 1185</w:t>
            </w:r>
          </w:p>
        </w:tc>
        <w:tc>
          <w:tcPr>
            <w:tcW w:w="1440" w:type="dxa"/>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7.04 – 9.57</w:t>
            </w:r>
          </w:p>
        </w:tc>
        <w:tc>
          <w:tcPr>
            <w:tcW w:w="1440" w:type="dxa"/>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4.11 – 10.66</w:t>
            </w:r>
          </w:p>
        </w:tc>
      </w:tr>
      <w:tr w:rsidR="009F068D" w:rsidRPr="00454400" w:rsidTr="009F068D">
        <w:tc>
          <w:tcPr>
            <w:tcW w:w="1440" w:type="dxa"/>
            <w:shd w:val="pct12" w:color="auto" w:fill="auto"/>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9</w:t>
            </w:r>
            <w:r w:rsidRPr="00454400">
              <w:rPr>
                <w:rFonts w:ascii="Calibri" w:hAnsi="Calibri" w:cs="Cambria"/>
                <w:b/>
                <w:sz w:val="20"/>
                <w:szCs w:val="20"/>
                <w:vertAlign w:val="superscript"/>
              </w:rPr>
              <w:t>th</w:t>
            </w:r>
            <w:r w:rsidRPr="00454400">
              <w:rPr>
                <w:rFonts w:ascii="Calibri" w:hAnsi="Calibri" w:cs="Cambria"/>
                <w:b/>
                <w:sz w:val="20"/>
                <w:szCs w:val="20"/>
              </w:rPr>
              <w:t xml:space="preserve"> – 10</w:t>
            </w:r>
            <w:r w:rsidRPr="00454400">
              <w:rPr>
                <w:rFonts w:ascii="Calibri" w:hAnsi="Calibri" w:cs="Cambria"/>
                <w:b/>
                <w:sz w:val="20"/>
                <w:szCs w:val="20"/>
                <w:vertAlign w:val="superscript"/>
              </w:rPr>
              <w:t>th</w:t>
            </w:r>
          </w:p>
        </w:tc>
        <w:tc>
          <w:tcPr>
            <w:tcW w:w="1440" w:type="dxa"/>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9.67 – 12.01</w:t>
            </w:r>
          </w:p>
        </w:tc>
        <w:tc>
          <w:tcPr>
            <w:tcW w:w="1440" w:type="dxa"/>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62 – 72</w:t>
            </w:r>
          </w:p>
        </w:tc>
        <w:tc>
          <w:tcPr>
            <w:tcW w:w="1440" w:type="dxa"/>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8.32 – 12.12</w:t>
            </w:r>
          </w:p>
        </w:tc>
        <w:tc>
          <w:tcPr>
            <w:tcW w:w="1440" w:type="dxa"/>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1050 – 1335</w:t>
            </w:r>
          </w:p>
        </w:tc>
        <w:tc>
          <w:tcPr>
            <w:tcW w:w="1440" w:type="dxa"/>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8.41 – 10.81</w:t>
            </w:r>
          </w:p>
        </w:tc>
        <w:tc>
          <w:tcPr>
            <w:tcW w:w="1440" w:type="dxa"/>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9.02 – 13.93</w:t>
            </w:r>
          </w:p>
        </w:tc>
      </w:tr>
      <w:tr w:rsidR="009F068D" w:rsidRPr="00454400" w:rsidTr="009F068D">
        <w:tc>
          <w:tcPr>
            <w:tcW w:w="1440" w:type="dxa"/>
            <w:shd w:val="pct12" w:color="auto" w:fill="auto"/>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11</w:t>
            </w:r>
            <w:r w:rsidRPr="00454400">
              <w:rPr>
                <w:rFonts w:ascii="Calibri" w:hAnsi="Calibri" w:cs="Cambria"/>
                <w:b/>
                <w:sz w:val="20"/>
                <w:szCs w:val="20"/>
                <w:vertAlign w:val="superscript"/>
              </w:rPr>
              <w:t>th</w:t>
            </w:r>
            <w:r w:rsidRPr="00454400">
              <w:rPr>
                <w:rFonts w:ascii="Calibri" w:hAnsi="Calibri" w:cs="Cambria"/>
                <w:b/>
                <w:sz w:val="20"/>
                <w:szCs w:val="20"/>
              </w:rPr>
              <w:t xml:space="preserve"> – CCR</w:t>
            </w:r>
          </w:p>
        </w:tc>
        <w:tc>
          <w:tcPr>
            <w:tcW w:w="1440" w:type="dxa"/>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11.20 – 14.10</w:t>
            </w:r>
          </w:p>
        </w:tc>
        <w:tc>
          <w:tcPr>
            <w:tcW w:w="1440" w:type="dxa"/>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67 – 74</w:t>
            </w:r>
          </w:p>
        </w:tc>
        <w:tc>
          <w:tcPr>
            <w:tcW w:w="1440" w:type="dxa"/>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10.34 – 14.2</w:t>
            </w:r>
          </w:p>
        </w:tc>
        <w:tc>
          <w:tcPr>
            <w:tcW w:w="1440" w:type="dxa"/>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1185 – 1385</w:t>
            </w:r>
          </w:p>
        </w:tc>
        <w:tc>
          <w:tcPr>
            <w:tcW w:w="1440" w:type="dxa"/>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9.57 – 12.00</w:t>
            </w:r>
          </w:p>
        </w:tc>
        <w:tc>
          <w:tcPr>
            <w:tcW w:w="1440" w:type="dxa"/>
            <w:vAlign w:val="bottom"/>
          </w:tcPr>
          <w:p w:rsidR="009F068D" w:rsidRPr="00454400" w:rsidRDefault="009F068D" w:rsidP="009F068D">
            <w:pPr>
              <w:spacing w:after="0" w:line="240" w:lineRule="auto"/>
              <w:jc w:val="center"/>
              <w:rPr>
                <w:rFonts w:ascii="Calibri" w:hAnsi="Calibri" w:cs="Cambria"/>
                <w:b/>
                <w:sz w:val="20"/>
                <w:szCs w:val="20"/>
              </w:rPr>
            </w:pPr>
            <w:r w:rsidRPr="00454400">
              <w:rPr>
                <w:rFonts w:ascii="Calibri" w:hAnsi="Calibri" w:cs="Cambria"/>
                <w:b/>
                <w:sz w:val="20"/>
                <w:szCs w:val="20"/>
              </w:rPr>
              <w:t>12.30 – 14.50</w:t>
            </w:r>
          </w:p>
        </w:tc>
      </w:tr>
    </w:tbl>
    <w:p w:rsidR="008C6E75" w:rsidRDefault="008C6E75">
      <w:pPr>
        <w:rPr>
          <w:rFonts w:ascii="Calibri" w:hAnsi="Calibri"/>
        </w:rPr>
      </w:pPr>
    </w:p>
    <w:p w:rsidR="00C0785B" w:rsidRDefault="00C0785B">
      <w:pPr>
        <w:rPr>
          <w:rFonts w:ascii="Calibri" w:hAnsi="Calibri"/>
        </w:rPr>
      </w:pPr>
    </w:p>
    <w:p w:rsidR="00454400" w:rsidRPr="006D3C80" w:rsidRDefault="00454400">
      <w:pPr>
        <w:rPr>
          <w:rFonts w:ascii="Calibri" w:hAnsi="Calibri"/>
          <w:vertAlign w:val="subscript"/>
        </w:rPr>
      </w:pPr>
    </w:p>
    <w:p w:rsidR="009F068D" w:rsidRPr="009F068D" w:rsidRDefault="00454400" w:rsidP="00454400">
      <w:pPr>
        <w:jc w:val="center"/>
        <w:rPr>
          <w:rFonts w:ascii="Calibri" w:hAnsi="Calibri"/>
        </w:rPr>
      </w:pPr>
      <w:r>
        <w:rPr>
          <w:rFonts w:ascii="Calibri" w:hAnsi="Calibri"/>
        </w:rPr>
        <w:t xml:space="preserve">Find links and instructions for using these quantitative analysis tools at </w:t>
      </w:r>
      <w:r>
        <w:rPr>
          <w:rFonts w:ascii="Calibri" w:hAnsi="Calibri"/>
        </w:rPr>
        <w:br/>
      </w:r>
      <w:hyperlink r:id="rId6" w:history="1">
        <w:r w:rsidRPr="00454400">
          <w:rPr>
            <w:rStyle w:val="Hyperlink"/>
            <w:rFonts w:ascii="Calibri" w:hAnsi="Calibri"/>
          </w:rPr>
          <w:t>achievethecore.org/text-complexity</w:t>
        </w:r>
      </w:hyperlink>
      <w:r>
        <w:rPr>
          <w:rFonts w:ascii="Calibri" w:hAnsi="Calibri"/>
        </w:rPr>
        <w:t>.</w:t>
      </w:r>
    </w:p>
    <w:sectPr w:rsidR="009F068D" w:rsidRPr="009F068D" w:rsidSect="001365C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692" w:rsidRDefault="005A3692" w:rsidP="009F068D">
      <w:pPr>
        <w:spacing w:after="0" w:line="240" w:lineRule="auto"/>
      </w:pPr>
      <w:r>
        <w:separator/>
      </w:r>
    </w:p>
  </w:endnote>
  <w:endnote w:type="continuationSeparator" w:id="0">
    <w:p w:rsidR="005A3692" w:rsidRDefault="005A3692" w:rsidP="009F0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692" w:rsidRDefault="005A3692" w:rsidP="009F068D">
      <w:pPr>
        <w:spacing w:after="0" w:line="240" w:lineRule="auto"/>
      </w:pPr>
      <w:r>
        <w:separator/>
      </w:r>
    </w:p>
  </w:footnote>
  <w:footnote w:type="continuationSeparator" w:id="0">
    <w:p w:rsidR="005A3692" w:rsidRDefault="005A3692" w:rsidP="009F068D">
      <w:pPr>
        <w:spacing w:after="0" w:line="240" w:lineRule="auto"/>
      </w:pPr>
      <w:r>
        <w:continuationSeparator/>
      </w:r>
    </w:p>
  </w:footnote>
  <w:footnote w:id="1">
    <w:p w:rsidR="009F068D" w:rsidRPr="00454400" w:rsidRDefault="009F068D" w:rsidP="009F068D">
      <w:pPr>
        <w:pStyle w:val="Default"/>
        <w:rPr>
          <w:rFonts w:ascii="Calibri" w:eastAsia="Cambria" w:hAnsi="Calibri" w:cs="Cambria"/>
        </w:rPr>
      </w:pPr>
      <w:r w:rsidRPr="009F068D">
        <w:rPr>
          <w:rStyle w:val="FootnoteReference"/>
          <w:rFonts w:ascii="Calibri" w:hAnsi="Calibri"/>
          <w:sz w:val="16"/>
          <w:szCs w:val="16"/>
        </w:rPr>
        <w:footnoteRef/>
      </w:r>
      <w:r w:rsidRPr="009F068D">
        <w:rPr>
          <w:rFonts w:ascii="Calibri" w:hAnsi="Calibri"/>
          <w:sz w:val="16"/>
          <w:szCs w:val="16"/>
        </w:rPr>
        <w:t xml:space="preserve"> </w:t>
      </w:r>
      <w:r w:rsidRPr="009F068D">
        <w:rPr>
          <w:rFonts w:ascii="Calibri" w:hAnsi="Calibri" w:cs="Cambria"/>
          <w:sz w:val="16"/>
          <w:szCs w:val="16"/>
        </w:rPr>
        <w:t xml:space="preserve">The band levels themselves have been expanded slightly over the original CCSS scale that appears in Appendix A at both the top and bottom of each band to provide for a more modulated climb toward college and career readiness and offer slightly more overlap between bands. The wider band width allows more flexibility in the younger grades where students enter school with widely varied preparation levels. This change was provided in response to feedback received since publication of the original scale (published in terms of the </w:t>
      </w:r>
      <w:proofErr w:type="spellStart"/>
      <w:r w:rsidRPr="009F068D">
        <w:rPr>
          <w:rFonts w:ascii="Calibri" w:hAnsi="Calibri" w:cs="Cambria"/>
          <w:sz w:val="16"/>
          <w:szCs w:val="16"/>
        </w:rPr>
        <w:t>Lexile</w:t>
      </w:r>
      <w:proofErr w:type="spellEnd"/>
      <w:r w:rsidRPr="00454400">
        <w:rPr>
          <w:rFonts w:ascii="Calibri" w:hAnsi="Calibri" w:cs="Cambria"/>
          <w:sz w:val="16"/>
          <w:szCs w:val="16"/>
        </w:rPr>
        <w:t>®</w:t>
      </w:r>
      <w:r w:rsidRPr="009F068D">
        <w:rPr>
          <w:rFonts w:ascii="Calibri" w:hAnsi="Calibri" w:cs="Cambria"/>
          <w:sz w:val="16"/>
          <w:szCs w:val="16"/>
        </w:rPr>
        <w:t xml:space="preserve"> metric) in Appendix A. </w:t>
      </w:r>
    </w:p>
  </w:footnote>
  <w:footnote w:id="2">
    <w:p w:rsidR="009F068D" w:rsidRPr="009F068D" w:rsidRDefault="009F068D" w:rsidP="009F068D">
      <w:pPr>
        <w:pStyle w:val="FootnoteText"/>
        <w:rPr>
          <w:rFonts w:ascii="Calibri" w:hAnsi="Calibri"/>
          <w:sz w:val="16"/>
          <w:szCs w:val="16"/>
        </w:rPr>
      </w:pPr>
      <w:r w:rsidRPr="009F068D">
        <w:rPr>
          <w:rStyle w:val="FootnoteReference"/>
          <w:rFonts w:ascii="Calibri" w:hAnsi="Calibri"/>
          <w:sz w:val="16"/>
          <w:szCs w:val="16"/>
        </w:rPr>
        <w:footnoteRef/>
      </w:r>
      <w:r w:rsidRPr="009F068D">
        <w:rPr>
          <w:rFonts w:ascii="Calibri" w:hAnsi="Calibri"/>
          <w:sz w:val="16"/>
          <w:szCs w:val="16"/>
        </w:rPr>
        <w:t xml:space="preserve"> </w:t>
      </w:r>
      <w:r w:rsidRPr="00454400">
        <w:rPr>
          <w:rFonts w:ascii="Calibri" w:hAnsi="Calibri" w:cs="Cambria"/>
          <w:sz w:val="16"/>
          <w:szCs w:val="16"/>
        </w:rPr>
        <w:t xml:space="preserve">Since Flesch-Kincaid has no ‘caretaker’ that oversees or maintains the formula, the research leads worked to bring the measure in line with college and career readiness levels of text complexity based on the version of the formula used by </w:t>
      </w:r>
      <w:proofErr w:type="spellStart"/>
      <w:r w:rsidRPr="00454400">
        <w:rPr>
          <w:rFonts w:ascii="Calibri" w:hAnsi="Calibri" w:cs="Cambria"/>
          <w:sz w:val="16"/>
          <w:szCs w:val="16"/>
        </w:rPr>
        <w:t>Coh-Metrix</w:t>
      </w:r>
      <w:proofErr w:type="spellEnd"/>
      <w:r w:rsidRPr="00454400">
        <w:rPr>
          <w:rFonts w:ascii="Calibri" w:hAnsi="Calibri" w:cs="Cambria"/>
          <w:sz w:val="16"/>
          <w:szCs w:val="16"/>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9F068D"/>
    <w:rsid w:val="000D0DFE"/>
    <w:rsid w:val="001365C1"/>
    <w:rsid w:val="00454400"/>
    <w:rsid w:val="005A3692"/>
    <w:rsid w:val="005E0B28"/>
    <w:rsid w:val="006D3C80"/>
    <w:rsid w:val="008C6E75"/>
    <w:rsid w:val="009F068D"/>
    <w:rsid w:val="00C0785B"/>
    <w:rsid w:val="00CF3D3B"/>
    <w:rsid w:val="00F73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F068D"/>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F068D"/>
    <w:pPr>
      <w:spacing w:after="0" w:line="240" w:lineRule="auto"/>
    </w:pPr>
    <w:rPr>
      <w:sz w:val="24"/>
      <w:szCs w:val="24"/>
    </w:rPr>
  </w:style>
  <w:style w:type="character" w:customStyle="1" w:styleId="FootnoteTextChar">
    <w:name w:val="Footnote Text Char"/>
    <w:link w:val="FootnoteText"/>
    <w:uiPriority w:val="99"/>
    <w:rsid w:val="009F068D"/>
    <w:rPr>
      <w:rFonts w:eastAsia="Cambria"/>
    </w:rPr>
  </w:style>
  <w:style w:type="character" w:styleId="FootnoteReference">
    <w:name w:val="footnote reference"/>
    <w:uiPriority w:val="99"/>
    <w:unhideWhenUsed/>
    <w:rsid w:val="009F068D"/>
    <w:rPr>
      <w:vertAlign w:val="superscript"/>
    </w:rPr>
  </w:style>
  <w:style w:type="paragraph" w:customStyle="1" w:styleId="Default">
    <w:name w:val="Default"/>
    <w:link w:val="DefaultChar"/>
    <w:rsid w:val="009F068D"/>
    <w:pPr>
      <w:autoSpaceDE w:val="0"/>
      <w:autoSpaceDN w:val="0"/>
      <w:adjustRightInd w:val="0"/>
    </w:pPr>
    <w:rPr>
      <w:rFonts w:ascii="Perpetua" w:eastAsia="Times New Roman" w:hAnsi="Perpetua" w:cs="Perpetua"/>
      <w:color w:val="000000"/>
      <w:sz w:val="24"/>
      <w:szCs w:val="24"/>
    </w:rPr>
  </w:style>
  <w:style w:type="character" w:customStyle="1" w:styleId="DefaultChar">
    <w:name w:val="Default Char"/>
    <w:link w:val="Default"/>
    <w:locked/>
    <w:rsid w:val="009F068D"/>
    <w:rPr>
      <w:rFonts w:ascii="Perpetua" w:eastAsia="Times New Roman" w:hAnsi="Perpetua" w:cs="Perpetua"/>
      <w:color w:val="000000"/>
    </w:rPr>
  </w:style>
  <w:style w:type="character" w:styleId="Hyperlink">
    <w:name w:val="Hyperlink"/>
    <w:uiPriority w:val="99"/>
    <w:unhideWhenUsed/>
    <w:rsid w:val="00454400"/>
    <w:rPr>
      <w:color w:val="0000FF"/>
      <w:u w:val="single"/>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hievethecore.org/text-complexit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Student Achievement Partners</Company>
  <LinksUpToDate>false</LinksUpToDate>
  <CharactersWithSpaces>781</CharactersWithSpaces>
  <SharedDoc>false</SharedDoc>
  <HLinks>
    <vt:vector size="6" baseType="variant">
      <vt:variant>
        <vt:i4>5701748</vt:i4>
      </vt:variant>
      <vt:variant>
        <vt:i4>0</vt:i4>
      </vt:variant>
      <vt:variant>
        <vt:i4>0</vt:i4>
      </vt:variant>
      <vt:variant>
        <vt:i4>5</vt:i4>
      </vt:variant>
      <vt:variant>
        <vt:lpwstr>http://www.achievethecore.org/text-complexity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Wilkinson</dc:creator>
  <cp:lastModifiedBy>User</cp:lastModifiedBy>
  <cp:revision>2</cp:revision>
  <cp:lastPrinted>2012-08-14T15:51:00Z</cp:lastPrinted>
  <dcterms:created xsi:type="dcterms:W3CDTF">2015-07-15T01:31:00Z</dcterms:created>
  <dcterms:modified xsi:type="dcterms:W3CDTF">2015-07-15T01:31:00Z</dcterms:modified>
</cp:coreProperties>
</file>